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6E28BA5D"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#119e</w:t>
      </w:r>
      <w:r>
        <w:rPr>
          <w:b/>
          <w:i/>
          <w:noProof/>
          <w:sz w:val="28"/>
        </w:rPr>
        <w:tab/>
        <w:t xml:space="preserve"> </w:t>
      </w:r>
      <w:r w:rsidRPr="00633549">
        <w:rPr>
          <w:b/>
          <w:noProof/>
          <w:sz w:val="28"/>
        </w:rPr>
        <w:t xml:space="preserve">Tdoc </w:t>
      </w:r>
      <w:r w:rsidRPr="00DC2CA2">
        <w:rPr>
          <w:b/>
          <w:noProof/>
          <w:sz w:val="28"/>
        </w:rPr>
        <w:t>R2-</w:t>
      </w:r>
      <w:r>
        <w:rPr>
          <w:b/>
          <w:noProof/>
          <w:sz w:val="28"/>
        </w:rPr>
        <w:t>22</w:t>
      </w:r>
      <w:r w:rsidR="006162F2">
        <w:rPr>
          <w:b/>
          <w:noProof/>
          <w:sz w:val="28"/>
        </w:rPr>
        <w:t>07300</w:t>
      </w:r>
    </w:p>
    <w:p w14:paraId="533922E5" w14:textId="77777777" w:rsidR="00B02DC2" w:rsidRDefault="00B02DC2" w:rsidP="00B02DC2">
      <w:pPr>
        <w:pStyle w:val="CRCoverPage"/>
        <w:rPr>
          <w:b/>
          <w:noProof/>
          <w:sz w:val="24"/>
        </w:rPr>
      </w:pPr>
      <w:r>
        <w:rPr>
          <w:b/>
          <w:sz w:val="24"/>
          <w:szCs w:val="24"/>
        </w:rPr>
        <w:t>Online, 15</w:t>
      </w:r>
      <w:r w:rsidRPr="00AD09EF">
        <w:rPr>
          <w:b/>
          <w:sz w:val="24"/>
          <w:szCs w:val="24"/>
          <w:vertAlign w:val="superscript"/>
        </w:rPr>
        <w:t>th</w:t>
      </w:r>
      <w:r>
        <w:rPr>
          <w:b/>
          <w:sz w:val="24"/>
          <w:szCs w:val="24"/>
        </w:rPr>
        <w:t xml:space="preserve"> Aug – 26</w:t>
      </w:r>
      <w:r>
        <w:rPr>
          <w:b/>
          <w:sz w:val="24"/>
          <w:szCs w:val="24"/>
          <w:vertAlign w:val="superscript"/>
        </w:rPr>
        <w:t>th</w:t>
      </w:r>
      <w:r>
        <w:rPr>
          <w:b/>
          <w:sz w:val="24"/>
          <w:szCs w:val="24"/>
        </w:rPr>
        <w:t xml:space="preserve"> Aug</w:t>
      </w:r>
      <w:r w:rsidRPr="009E4773">
        <w:rPr>
          <w:b/>
          <w:sz w:val="24"/>
          <w:szCs w:val="24"/>
        </w:rPr>
        <w:t xml:space="preserve"> </w:t>
      </w:r>
      <w:r>
        <w:rPr>
          <w:b/>
          <w:sz w:val="24"/>
          <w:szCs w:val="24"/>
        </w:rPr>
        <w:t>2022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1FC7E83" w14:textId="566F46E9" w:rsidR="00B02DC2" w:rsidRPr="009A6513" w:rsidRDefault="00B02DC2" w:rsidP="00B02DC2">
      <w:pPr>
        <w:pStyle w:val="CRCoverPage"/>
        <w:ind w:left="1988" w:hanging="1988"/>
        <w:rPr>
          <w:b/>
          <w:noProof/>
          <w:sz w:val="24"/>
        </w:rPr>
      </w:pPr>
      <w:r>
        <w:rPr>
          <w:b/>
          <w:noProof/>
          <w:sz w:val="24"/>
        </w:rPr>
        <w:t>Agenda Item:</w:t>
      </w:r>
      <w:r>
        <w:rPr>
          <w:b/>
          <w:noProof/>
          <w:sz w:val="24"/>
        </w:rPr>
        <w:tab/>
        <w:t>8.</w:t>
      </w:r>
      <w:r w:rsidR="00E56FFB">
        <w:rPr>
          <w:b/>
          <w:noProof/>
          <w:sz w:val="24"/>
        </w:rPr>
        <w:t>6</w:t>
      </w:r>
      <w:r>
        <w:rPr>
          <w:b/>
          <w:noProof/>
          <w:sz w:val="24"/>
        </w:rPr>
        <w:t>.</w:t>
      </w:r>
      <w:r w:rsidR="00E56FFB">
        <w:rPr>
          <w:b/>
          <w:noProof/>
          <w:sz w:val="24"/>
        </w:rPr>
        <w:t>2</w:t>
      </w:r>
      <w:r w:rsidRPr="00D26A64">
        <w:rPr>
          <w:b/>
          <w:noProof/>
          <w:sz w:val="24"/>
        </w:rPr>
        <w:t xml:space="preserve"> </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6E2A353B"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E56FFB" w:rsidRPr="00E56FFB">
        <w:rPr>
          <w:b/>
          <w:noProof/>
          <w:sz w:val="24"/>
        </w:rPr>
        <w:t>On Disabling HARQ</w:t>
      </w:r>
      <w:r w:rsidR="00BE4750">
        <w:rPr>
          <w:b/>
          <w:noProof/>
          <w:sz w:val="24"/>
        </w:rPr>
        <w:t xml:space="preserve"> Feedback</w:t>
      </w:r>
      <w:r w:rsidR="00E56FFB" w:rsidRPr="00E56FFB">
        <w:rPr>
          <w:b/>
          <w:noProof/>
          <w:sz w:val="24"/>
        </w:rPr>
        <w:t xml:space="preserve"> in IoT-NTN</w:t>
      </w:r>
    </w:p>
    <w:bookmarkEnd w:id="0"/>
    <w:bookmarkEnd w:id="1"/>
    <w:p w14:paraId="1EB2D31E" w14:textId="77777777"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7459FBD4" w14:textId="078BB4BD" w:rsidR="00366A57" w:rsidRPr="00467E45" w:rsidRDefault="00B02DC2" w:rsidP="00670B47">
      <w:pPr>
        <w:tabs>
          <w:tab w:val="left" w:pos="1622"/>
        </w:tabs>
        <w:spacing w:after="0"/>
        <w:jc w:val="both"/>
        <w:rPr>
          <w:rFonts w:ascii="Arial" w:hAnsi="Arial" w:cs="Arial"/>
          <w:lang w:eastAsia="en-GB"/>
        </w:rPr>
      </w:pPr>
      <w:r w:rsidRPr="00B02DC2">
        <w:rPr>
          <w:rFonts w:ascii="Arial" w:hAnsi="Arial" w:cs="Arial"/>
          <w:lang w:eastAsia="en-GB"/>
        </w:rPr>
        <w:t xml:space="preserve">Rel-18 enhancements for </w:t>
      </w:r>
      <w:r w:rsidR="00FB5899">
        <w:rPr>
          <w:rFonts w:ascii="Arial" w:hAnsi="Arial" w:cs="Arial"/>
          <w:lang w:eastAsia="en-GB"/>
        </w:rPr>
        <w:t>IoT</w:t>
      </w:r>
      <w:r w:rsidRPr="00B02DC2">
        <w:rPr>
          <w:rFonts w:ascii="Arial" w:hAnsi="Arial" w:cs="Arial"/>
          <w:lang w:eastAsia="en-GB"/>
        </w:rPr>
        <w:t xml:space="preserve">-NTN </w:t>
      </w:r>
      <w:r w:rsidR="00450E2E">
        <w:rPr>
          <w:rFonts w:ascii="Arial" w:hAnsi="Arial" w:cs="Arial"/>
          <w:lang w:eastAsia="en-GB"/>
        </w:rPr>
        <w:t xml:space="preserve">Work Item </w:t>
      </w:r>
      <w:r w:rsidRPr="00B02DC2">
        <w:rPr>
          <w:rFonts w:ascii="Arial" w:hAnsi="Arial" w:cs="Arial"/>
          <w:lang w:eastAsia="en-GB"/>
        </w:rPr>
        <w:t>was approved at RAN Plenary #9</w:t>
      </w:r>
      <w:r w:rsidR="00450E2E">
        <w:rPr>
          <w:rFonts w:ascii="Arial" w:hAnsi="Arial" w:cs="Arial"/>
          <w:lang w:eastAsia="en-GB"/>
        </w:rPr>
        <w:t>6</w:t>
      </w:r>
      <w:r w:rsidRPr="00B02DC2">
        <w:rPr>
          <w:rFonts w:ascii="Arial" w:hAnsi="Arial" w:cs="Arial"/>
          <w:lang w:eastAsia="en-GB"/>
        </w:rPr>
        <w:t>e</w:t>
      </w:r>
      <w:r w:rsidR="005071DB">
        <w:rPr>
          <w:rFonts w:ascii="Arial" w:hAnsi="Arial" w:cs="Arial"/>
          <w:lang w:eastAsia="en-GB"/>
        </w:rPr>
        <w:t xml:space="preserve"> </w:t>
      </w:r>
      <w:r w:rsidR="005071DB">
        <w:rPr>
          <w:rFonts w:ascii="Arial" w:hAnsi="Arial" w:cs="Arial"/>
          <w:lang w:eastAsia="en-GB"/>
        </w:rPr>
        <w:fldChar w:fldCharType="begin"/>
      </w:r>
      <w:r w:rsidR="005071DB">
        <w:rPr>
          <w:rFonts w:ascii="Arial" w:hAnsi="Arial" w:cs="Arial"/>
          <w:lang w:eastAsia="en-GB"/>
        </w:rPr>
        <w:instrText xml:space="preserve"> REF _Ref109647240 \r \h </w:instrText>
      </w:r>
      <w:r w:rsidR="005071DB">
        <w:rPr>
          <w:rFonts w:ascii="Arial" w:hAnsi="Arial" w:cs="Arial"/>
          <w:lang w:eastAsia="en-GB"/>
        </w:rPr>
      </w:r>
      <w:r w:rsidR="005071DB">
        <w:rPr>
          <w:rFonts w:ascii="Arial" w:hAnsi="Arial" w:cs="Arial"/>
          <w:lang w:eastAsia="en-GB"/>
        </w:rPr>
        <w:fldChar w:fldCharType="separate"/>
      </w:r>
      <w:r w:rsidR="005071DB">
        <w:rPr>
          <w:rFonts w:ascii="Arial" w:hAnsi="Arial" w:cs="Arial"/>
          <w:lang w:eastAsia="en-GB"/>
        </w:rPr>
        <w:t>[1]</w:t>
      </w:r>
      <w:r w:rsidR="005071DB">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The corresponding work item has identified </w:t>
      </w:r>
      <w:r w:rsidR="00450E2E" w:rsidRPr="00450E2E">
        <w:rPr>
          <w:rFonts w:ascii="Arial" w:hAnsi="Arial" w:cs="Arial"/>
          <w:lang w:eastAsia="en-GB"/>
        </w:rPr>
        <w:t>IoT-NTN Performance Enhancements to address remaining issues from Rel-17</w:t>
      </w:r>
      <w:r w:rsidR="00450E2E">
        <w:rPr>
          <w:rFonts w:ascii="Arial" w:hAnsi="Arial" w:cs="Arial"/>
          <w:lang w:eastAsia="en-GB"/>
        </w:rPr>
        <w:t xml:space="preserve"> as one key agenda. T</w:t>
      </w:r>
      <w:r w:rsidRPr="00B02DC2">
        <w:rPr>
          <w:rFonts w:ascii="Arial" w:hAnsi="Arial" w:cs="Arial"/>
          <w:lang w:eastAsia="en-GB"/>
        </w:rPr>
        <w:t xml:space="preserve">he work item objective (WID) has mentioned </w:t>
      </w:r>
      <w:r w:rsidR="00450E2E">
        <w:rPr>
          <w:rFonts w:ascii="Arial" w:hAnsi="Arial" w:cs="Arial"/>
          <w:lang w:eastAsia="en-GB"/>
        </w:rPr>
        <w:t>“</w:t>
      </w:r>
      <w:r w:rsidR="00450E2E" w:rsidRPr="00450E2E">
        <w:rPr>
          <w:rFonts w:ascii="Arial" w:hAnsi="Arial" w:cs="Arial"/>
          <w:lang w:eastAsia="en-GB"/>
        </w:rPr>
        <w:t>Disabling of HARQ feedback to mitigate impact of HARQ stalling on UE data rates</w:t>
      </w:r>
      <w:r w:rsidR="00450E2E">
        <w:rPr>
          <w:rFonts w:ascii="Arial" w:hAnsi="Arial" w:cs="Arial"/>
          <w:lang w:eastAsia="en-GB"/>
        </w:rPr>
        <w:t xml:space="preserve">” </w:t>
      </w:r>
      <w:r w:rsidR="00450E2E">
        <w:rPr>
          <w:rFonts w:ascii="Arial" w:hAnsi="Arial" w:cs="Arial"/>
          <w:lang w:eastAsia="en-GB"/>
        </w:rPr>
        <w:fldChar w:fldCharType="begin"/>
      </w:r>
      <w:r w:rsidR="00450E2E">
        <w:rPr>
          <w:rFonts w:ascii="Arial" w:hAnsi="Arial" w:cs="Arial"/>
          <w:lang w:eastAsia="en-GB"/>
        </w:rPr>
        <w:instrText xml:space="preserve"> REF _Ref109647240 \r \h </w:instrText>
      </w:r>
      <w:r w:rsidR="00450E2E">
        <w:rPr>
          <w:rFonts w:ascii="Arial" w:hAnsi="Arial" w:cs="Arial"/>
          <w:lang w:eastAsia="en-GB"/>
        </w:rPr>
      </w:r>
      <w:r w:rsidR="00450E2E">
        <w:rPr>
          <w:rFonts w:ascii="Arial" w:hAnsi="Arial" w:cs="Arial"/>
          <w:lang w:eastAsia="en-GB"/>
        </w:rPr>
        <w:fldChar w:fldCharType="separate"/>
      </w:r>
      <w:r w:rsidR="00450E2E">
        <w:rPr>
          <w:rFonts w:ascii="Arial" w:hAnsi="Arial" w:cs="Arial"/>
          <w:lang w:eastAsia="en-GB"/>
        </w:rPr>
        <w:t>[1]</w:t>
      </w:r>
      <w:r w:rsidR="00450E2E">
        <w:rPr>
          <w:rFonts w:ascii="Arial" w:hAnsi="Arial" w:cs="Arial"/>
          <w:lang w:eastAsia="en-GB"/>
        </w:rPr>
        <w:fldChar w:fldCharType="end"/>
      </w:r>
      <w:r w:rsidR="00450E2E">
        <w:rPr>
          <w:rFonts w:ascii="Arial" w:hAnsi="Arial" w:cs="Arial"/>
          <w:lang w:eastAsia="en-GB"/>
        </w:rPr>
        <w:t xml:space="preserve">. </w:t>
      </w:r>
      <w:r w:rsidRPr="00B02DC2">
        <w:rPr>
          <w:rFonts w:ascii="Arial" w:hAnsi="Arial" w:cs="Arial"/>
          <w:lang w:eastAsia="en-GB"/>
        </w:rPr>
        <w:t>Previous agreements in Rel-1</w:t>
      </w:r>
      <w:r>
        <w:rPr>
          <w:rFonts w:ascii="Arial" w:hAnsi="Arial" w:cs="Arial"/>
          <w:lang w:eastAsia="en-GB"/>
        </w:rPr>
        <w:t>7</w:t>
      </w:r>
      <w:r w:rsidRPr="00B02DC2">
        <w:rPr>
          <w:rFonts w:ascii="Arial" w:hAnsi="Arial" w:cs="Arial"/>
          <w:lang w:eastAsia="en-GB"/>
        </w:rPr>
        <w:t xml:space="preserve"> NR-NTN </w:t>
      </w:r>
      <w:r>
        <w:rPr>
          <w:rFonts w:ascii="Arial" w:hAnsi="Arial" w:cs="Arial"/>
          <w:lang w:eastAsia="en-GB"/>
        </w:rPr>
        <w:t>Work</w:t>
      </w:r>
      <w:r w:rsidRPr="00B02DC2">
        <w:rPr>
          <w:rFonts w:ascii="Arial" w:hAnsi="Arial" w:cs="Arial"/>
          <w:lang w:eastAsia="en-GB"/>
        </w:rPr>
        <w:t xml:space="preserve"> Item has </w:t>
      </w:r>
      <w:r>
        <w:rPr>
          <w:rFonts w:ascii="Arial" w:hAnsi="Arial" w:cs="Arial"/>
          <w:lang w:eastAsia="en-GB"/>
        </w:rPr>
        <w:t>agreed</w:t>
      </w:r>
      <w:r w:rsidRPr="00B02DC2">
        <w:rPr>
          <w:rFonts w:ascii="Arial" w:hAnsi="Arial" w:cs="Arial"/>
          <w:lang w:eastAsia="en-GB"/>
        </w:rPr>
        <w:t xml:space="preserve"> </w:t>
      </w:r>
      <w:r w:rsidR="00467E45">
        <w:rPr>
          <w:rFonts w:ascii="Arial" w:hAnsi="Arial" w:cs="Arial"/>
          <w:lang w:eastAsia="en-GB"/>
        </w:rPr>
        <w:t xml:space="preserve">semi-statically disabling/enabling of downlink HARQ using RRC Signalling. </w:t>
      </w:r>
      <w:r w:rsidR="00940DE4">
        <w:rPr>
          <w:rFonts w:ascii="Arial" w:eastAsia="MS Mincho" w:hAnsi="Arial" w:cs="Arial"/>
          <w:szCs w:val="24"/>
          <w:lang w:eastAsia="en-GB"/>
        </w:rPr>
        <w:t xml:space="preserve">In this contribution we </w:t>
      </w:r>
      <w:r>
        <w:rPr>
          <w:rFonts w:ascii="Arial" w:eastAsia="MS Mincho" w:hAnsi="Arial" w:cs="Arial"/>
          <w:szCs w:val="24"/>
          <w:lang w:eastAsia="en-GB"/>
        </w:rPr>
        <w:t xml:space="preserve">discuss </w:t>
      </w:r>
      <w:r w:rsidR="00467E45">
        <w:rPr>
          <w:rFonts w:ascii="Arial" w:eastAsia="MS Mincho" w:hAnsi="Arial" w:cs="Arial"/>
          <w:szCs w:val="24"/>
          <w:lang w:eastAsia="en-GB"/>
        </w:rPr>
        <w:t xml:space="preserve">disabling of HARQ </w:t>
      </w:r>
      <w:r w:rsidR="00940DE4">
        <w:rPr>
          <w:rFonts w:ascii="Arial" w:eastAsia="MS Mincho" w:hAnsi="Arial" w:cs="Arial"/>
          <w:szCs w:val="24"/>
          <w:lang w:eastAsia="en-GB"/>
        </w:rPr>
        <w:t xml:space="preserve">in </w:t>
      </w:r>
      <w:r w:rsidR="00467E45">
        <w:rPr>
          <w:rFonts w:ascii="Arial" w:eastAsia="MS Mincho" w:hAnsi="Arial" w:cs="Arial"/>
          <w:szCs w:val="24"/>
          <w:lang w:eastAsia="en-GB"/>
        </w:rPr>
        <w:t>IoT</w:t>
      </w:r>
      <w:r>
        <w:rPr>
          <w:rFonts w:ascii="Arial" w:eastAsia="MS Mincho" w:hAnsi="Arial" w:cs="Arial"/>
          <w:szCs w:val="24"/>
          <w:lang w:eastAsia="en-GB"/>
        </w:rPr>
        <w:t>-</w:t>
      </w:r>
      <w:r w:rsidR="00940DE4">
        <w:rPr>
          <w:rFonts w:ascii="Arial" w:eastAsia="MS Mincho" w:hAnsi="Arial" w:cs="Arial"/>
          <w:szCs w:val="24"/>
          <w:lang w:eastAsia="en-GB"/>
        </w:rPr>
        <w:t>NTN.</w:t>
      </w: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618D8776" w14:textId="138D1A73" w:rsidR="00423D89" w:rsidRDefault="00423D89" w:rsidP="00D30920">
      <w:pPr>
        <w:jc w:val="both"/>
        <w:rPr>
          <w:rFonts w:ascii="Arial" w:hAnsi="Arial" w:cs="Arial"/>
          <w:b/>
          <w:bCs/>
          <w:sz w:val="28"/>
        </w:rPr>
      </w:pPr>
      <w:r>
        <w:rPr>
          <w:rFonts w:ascii="Arial" w:hAnsi="Arial" w:cs="Arial"/>
          <w:b/>
          <w:bCs/>
          <w:sz w:val="28"/>
        </w:rPr>
        <w:t xml:space="preserve">2.1 </w:t>
      </w:r>
      <w:r w:rsidR="000C5750">
        <w:rPr>
          <w:rFonts w:ascii="Arial" w:hAnsi="Arial" w:cs="Arial"/>
          <w:b/>
          <w:bCs/>
          <w:sz w:val="28"/>
        </w:rPr>
        <w:t xml:space="preserve">Enabling and </w:t>
      </w:r>
      <w:r w:rsidR="00D35F32">
        <w:rPr>
          <w:rFonts w:ascii="Arial" w:hAnsi="Arial" w:cs="Arial"/>
          <w:b/>
          <w:bCs/>
          <w:sz w:val="28"/>
        </w:rPr>
        <w:t>Disabling HARQ</w:t>
      </w:r>
      <w:r w:rsidR="00BE4750">
        <w:rPr>
          <w:rFonts w:ascii="Arial" w:hAnsi="Arial" w:cs="Arial"/>
          <w:b/>
          <w:bCs/>
          <w:sz w:val="28"/>
        </w:rPr>
        <w:t xml:space="preserve"> Feedback</w:t>
      </w:r>
    </w:p>
    <w:p w14:paraId="43F0A0B2" w14:textId="771A023D" w:rsidR="00975640" w:rsidRDefault="00830984" w:rsidP="00975640">
      <w:pPr>
        <w:jc w:val="both"/>
        <w:rPr>
          <w:rFonts w:ascii="Arial" w:hAnsi="Arial" w:cs="Arial"/>
        </w:rPr>
      </w:pPr>
      <w:r>
        <w:rPr>
          <w:rFonts w:ascii="Arial" w:hAnsi="Arial" w:cs="Arial"/>
        </w:rPr>
        <w:t xml:space="preserve">HARQ is widely used to provide robustness. However, the high round trip delay (RTD) in NTN might result in HARQ staling thus impacting the data rates. Hence, disabling the HARQ feedback has the potential to increase data rates. However, disabling HARQ feedback compromises robustness, which is particularly important for Signalling Radio Bearers (SRBs) and msg3-msg4 transmissions. </w:t>
      </w:r>
    </w:p>
    <w:p w14:paraId="0862B4A1" w14:textId="3D740CDB" w:rsidR="00975640" w:rsidRPr="009D3A14" w:rsidRDefault="00975640" w:rsidP="00975640">
      <w:pPr>
        <w:jc w:val="both"/>
        <w:rPr>
          <w:rFonts w:ascii="Arial" w:hAnsi="Arial" w:cs="Arial"/>
          <w:b/>
          <w:bCs/>
        </w:rPr>
      </w:pPr>
      <w:r w:rsidRPr="009D3A14">
        <w:rPr>
          <w:rFonts w:ascii="Arial" w:hAnsi="Arial" w:cs="Arial"/>
          <w:b/>
          <w:bCs/>
        </w:rPr>
        <w:t xml:space="preserve">Observation 1: </w:t>
      </w:r>
      <w:r w:rsidR="00830984">
        <w:rPr>
          <w:rFonts w:ascii="Arial" w:hAnsi="Arial" w:cs="Arial"/>
          <w:b/>
          <w:bCs/>
        </w:rPr>
        <w:t>D</w:t>
      </w:r>
      <w:r>
        <w:rPr>
          <w:rFonts w:ascii="Arial" w:hAnsi="Arial" w:cs="Arial"/>
          <w:b/>
          <w:bCs/>
        </w:rPr>
        <w:t xml:space="preserve">isabling </w:t>
      </w:r>
      <w:r w:rsidR="00830984">
        <w:rPr>
          <w:rFonts w:ascii="Arial" w:hAnsi="Arial" w:cs="Arial"/>
          <w:b/>
          <w:bCs/>
        </w:rPr>
        <w:t xml:space="preserve">HARQ feedback </w:t>
      </w:r>
      <w:r w:rsidR="00BE4750">
        <w:rPr>
          <w:rFonts w:ascii="Arial" w:hAnsi="Arial" w:cs="Arial"/>
          <w:b/>
          <w:bCs/>
        </w:rPr>
        <w:t xml:space="preserve">has the potential to increase data rates at the cost </w:t>
      </w:r>
      <w:r w:rsidR="00830984">
        <w:rPr>
          <w:rFonts w:ascii="Arial" w:hAnsi="Arial" w:cs="Arial"/>
          <w:b/>
          <w:bCs/>
        </w:rPr>
        <w:t xml:space="preserve">sacrificing </w:t>
      </w:r>
      <w:r w:rsidR="00BE4750">
        <w:rPr>
          <w:rFonts w:ascii="Arial" w:hAnsi="Arial" w:cs="Arial"/>
          <w:b/>
          <w:bCs/>
        </w:rPr>
        <w:t xml:space="preserve">robustness. </w:t>
      </w:r>
    </w:p>
    <w:p w14:paraId="164C527F" w14:textId="3FDDA514" w:rsidR="00EC09B5" w:rsidRPr="00423D89" w:rsidRDefault="00EC09B5" w:rsidP="00423D89">
      <w:pPr>
        <w:rPr>
          <w:rFonts w:ascii="Arial" w:hAnsi="Arial" w:cs="Arial"/>
        </w:rPr>
      </w:pPr>
      <w:r>
        <w:rPr>
          <w:rFonts w:ascii="Arial" w:hAnsi="Arial" w:cs="Arial"/>
        </w:rPr>
        <w:t xml:space="preserve">Hence, based on this motivation, in Rel-17 NR-NTN RAN2 has decided </w:t>
      </w:r>
      <w:r w:rsidR="00724E29">
        <w:rPr>
          <w:rFonts w:ascii="Arial" w:hAnsi="Arial" w:cs="Arial"/>
        </w:rPr>
        <w:t>to semi-statically enable and disable HARQ feedback in per HARQ process basis using RRC signalling. Naturally, it is convenient for RAN2 to reuse the same solution strategy for selectively enabling/disabling HARQ feedback per process basis in IoT-NTN.</w:t>
      </w:r>
    </w:p>
    <w:p w14:paraId="684BCF34" w14:textId="77777777" w:rsidR="00BE4750" w:rsidRDefault="00423D89" w:rsidP="0008494B">
      <w:pPr>
        <w:rPr>
          <w:rFonts w:ascii="Arial" w:hAnsi="Arial" w:cs="Arial"/>
          <w:lang w:val="en-US"/>
        </w:rPr>
      </w:pPr>
      <w:r w:rsidRPr="00423D89">
        <w:rPr>
          <w:rFonts w:ascii="Arial" w:hAnsi="Arial" w:cs="Arial"/>
          <w:b/>
          <w:bCs/>
        </w:rPr>
        <w:t xml:space="preserve">Proposal </w:t>
      </w:r>
      <w:r w:rsidR="00BE4750">
        <w:rPr>
          <w:rFonts w:ascii="Arial" w:hAnsi="Arial" w:cs="Arial"/>
          <w:b/>
          <w:bCs/>
        </w:rPr>
        <w:t>1: RAN2 will reuse NR-NTN agreements to semi-statically enable/disable HARQ feedback using RRC signalling on per HARQ process.</w:t>
      </w:r>
    </w:p>
    <w:p w14:paraId="518F0D9E" w14:textId="5192349A" w:rsidR="00BE4750" w:rsidRPr="00BE4750" w:rsidRDefault="00BE4750" w:rsidP="00BE4750">
      <w:pPr>
        <w:jc w:val="both"/>
        <w:rPr>
          <w:rFonts w:ascii="Arial" w:hAnsi="Arial" w:cs="Arial"/>
          <w:lang w:val="en-US"/>
        </w:rPr>
      </w:pPr>
      <w:r>
        <w:rPr>
          <w:rFonts w:ascii="Arial" w:hAnsi="Arial" w:cs="Arial"/>
          <w:lang w:val="en-US"/>
        </w:rPr>
        <w:t xml:space="preserve">It should be noted that RRC Reconfiguration message was used in NR-NTN for enabling/disabling HARQ feedback. However, NB-IoT CP solutions do not use RRC Reconfiguration. Hence, for NB-IoT, instead of using RRC Reconfiguration, msg4 could be used. </w:t>
      </w:r>
    </w:p>
    <w:p w14:paraId="4D5BF9B6" w14:textId="34E33EA3" w:rsidR="0008494B" w:rsidRPr="00681A2D" w:rsidRDefault="0008494B" w:rsidP="0008494B">
      <w:pPr>
        <w:rPr>
          <w:rFonts w:ascii="Arial" w:hAnsi="Arial" w:cs="Arial"/>
          <w:lang w:val="en-US"/>
        </w:rPr>
      </w:pPr>
      <w:r w:rsidRPr="00423D89">
        <w:rPr>
          <w:rFonts w:ascii="Arial" w:hAnsi="Arial" w:cs="Arial"/>
          <w:b/>
          <w:bCs/>
        </w:rPr>
        <w:t xml:space="preserve">Proposal </w:t>
      </w:r>
      <w:r w:rsidRPr="00EE7517">
        <w:rPr>
          <w:rFonts w:ascii="Arial" w:hAnsi="Arial" w:cs="Arial"/>
          <w:b/>
          <w:bCs/>
        </w:rPr>
        <w:t xml:space="preserve">2: </w:t>
      </w:r>
      <w:r w:rsidR="00EE7517" w:rsidRPr="00EE7517">
        <w:rPr>
          <w:rFonts w:ascii="Arial" w:hAnsi="Arial" w:cs="Arial"/>
          <w:b/>
          <w:bCs/>
        </w:rPr>
        <w:t>As NB-IoT CP solutions do not use RRC Reconfiguration, msg4 could be used to semi-statically enable/disable HARQ feedback in NB-IoT based NTN.</w:t>
      </w:r>
    </w:p>
    <w:p w14:paraId="475AC107" w14:textId="77777777" w:rsidR="0008494B" w:rsidRDefault="0008494B" w:rsidP="00D30920">
      <w:pPr>
        <w:jc w:val="both"/>
        <w:rPr>
          <w:rFonts w:ascii="Arial" w:hAnsi="Arial" w:cs="Arial"/>
          <w:b/>
          <w:bCs/>
          <w:sz w:val="28"/>
        </w:rPr>
      </w:pPr>
    </w:p>
    <w:p w14:paraId="465FB2C0" w14:textId="34CFE827" w:rsidR="00D30920" w:rsidRDefault="00D30920" w:rsidP="00D30920">
      <w:pPr>
        <w:jc w:val="both"/>
        <w:rPr>
          <w:rFonts w:ascii="Arial" w:hAnsi="Arial" w:cs="Arial"/>
          <w:b/>
          <w:bCs/>
          <w:sz w:val="28"/>
        </w:rPr>
      </w:pPr>
      <w:r w:rsidRPr="008321E7">
        <w:rPr>
          <w:rFonts w:ascii="Arial" w:hAnsi="Arial" w:cs="Arial"/>
          <w:b/>
          <w:bCs/>
          <w:sz w:val="28"/>
        </w:rPr>
        <w:t>2.</w:t>
      </w:r>
      <w:r w:rsidR="00423D89">
        <w:rPr>
          <w:rFonts w:ascii="Arial" w:hAnsi="Arial" w:cs="Arial"/>
          <w:b/>
          <w:bCs/>
          <w:sz w:val="28"/>
        </w:rPr>
        <w:t>2</w:t>
      </w:r>
      <w:r w:rsidR="00670B47">
        <w:rPr>
          <w:rFonts w:ascii="Arial" w:hAnsi="Arial" w:cs="Arial"/>
          <w:b/>
          <w:bCs/>
          <w:sz w:val="28"/>
        </w:rPr>
        <w:t xml:space="preserve"> </w:t>
      </w:r>
      <w:r w:rsidR="00D35F32">
        <w:rPr>
          <w:rFonts w:ascii="Arial" w:hAnsi="Arial" w:cs="Arial"/>
          <w:b/>
          <w:bCs/>
          <w:sz w:val="28"/>
        </w:rPr>
        <w:t xml:space="preserve">Enhancements to Improve Performance with Disabled HARQ </w:t>
      </w:r>
    </w:p>
    <w:p w14:paraId="327F32EA" w14:textId="2B00120B" w:rsidR="004A1BA3" w:rsidRPr="004A1BA3" w:rsidRDefault="004A1BA3" w:rsidP="004A1BA3">
      <w:pPr>
        <w:jc w:val="both"/>
        <w:rPr>
          <w:rFonts w:ascii="Arial" w:hAnsi="Arial" w:cs="Arial"/>
          <w:lang w:val="en-US"/>
        </w:rPr>
      </w:pPr>
      <w:r w:rsidRPr="004A1BA3">
        <w:rPr>
          <w:rFonts w:ascii="Arial" w:hAnsi="Arial" w:cs="Arial" w:hint="eastAsia"/>
          <w:lang w:val="en-US"/>
        </w:rPr>
        <w:t>D</w:t>
      </w:r>
      <w:r w:rsidRPr="004A1BA3">
        <w:rPr>
          <w:rFonts w:ascii="Arial" w:hAnsi="Arial" w:cs="Arial"/>
          <w:lang w:val="en-US"/>
        </w:rPr>
        <w:t xml:space="preserve">ue to disabling </w:t>
      </w:r>
      <w:r w:rsidRPr="004A1BA3">
        <w:rPr>
          <w:rFonts w:ascii="Arial" w:hAnsi="Arial" w:cs="Arial" w:hint="eastAsia"/>
          <w:lang w:val="en-US"/>
        </w:rPr>
        <w:t>HARQ</w:t>
      </w:r>
      <w:r w:rsidRPr="004A1BA3">
        <w:rPr>
          <w:rFonts w:ascii="Arial" w:hAnsi="Arial" w:cs="Arial"/>
          <w:lang w:val="en-US"/>
        </w:rPr>
        <w:t xml:space="preserve"> feedback, RLC feedback for AM RLC entity become the last chance to guarantee the reliability of data transmission</w:t>
      </w:r>
      <w:r w:rsidR="00DE7C36">
        <w:rPr>
          <w:rFonts w:ascii="Arial" w:hAnsi="Arial" w:cs="Arial"/>
          <w:lang w:val="en-US"/>
        </w:rPr>
        <w:t>.</w:t>
      </w:r>
      <w:r w:rsidRPr="004A1BA3">
        <w:rPr>
          <w:rFonts w:ascii="Arial" w:hAnsi="Arial" w:cs="Arial"/>
          <w:lang w:val="en-US"/>
        </w:rPr>
        <w:t xml:space="preserve"> </w:t>
      </w:r>
      <w:r w:rsidR="00DE7C36">
        <w:rPr>
          <w:rFonts w:ascii="Arial" w:hAnsi="Arial" w:cs="Arial"/>
          <w:lang w:val="en-US"/>
        </w:rPr>
        <w:t>I</w:t>
      </w:r>
      <w:r w:rsidRPr="004A1BA3">
        <w:rPr>
          <w:rFonts w:ascii="Arial" w:hAnsi="Arial" w:cs="Arial"/>
          <w:lang w:val="en-US"/>
        </w:rPr>
        <w:t xml:space="preserve">t is predictable that </w:t>
      </w:r>
      <w:r w:rsidR="00DE7C36">
        <w:rPr>
          <w:rFonts w:ascii="Arial" w:hAnsi="Arial" w:cs="Arial"/>
          <w:lang w:val="en-US"/>
        </w:rPr>
        <w:t xml:space="preserve">the chance of </w:t>
      </w:r>
      <w:r w:rsidRPr="004A1BA3">
        <w:rPr>
          <w:rFonts w:ascii="Arial" w:hAnsi="Arial" w:cs="Arial"/>
          <w:lang w:val="en-US"/>
        </w:rPr>
        <w:t>RLC retransmission will increase. On the other hand, for IoT NTN, especially for NB-IoT, the RLC polling and STATUS report mechanism is weaker than regular LTE. The conditions to trigger polling, like condition based on unacknowledged RLC PDU number and condition based on unacknowledged byte size,</w:t>
      </w:r>
      <w:r w:rsidR="009E4DD7">
        <w:rPr>
          <w:rFonts w:ascii="Arial" w:hAnsi="Arial" w:cs="Arial"/>
          <w:lang w:val="en-US"/>
        </w:rPr>
        <w:t xml:space="preserve"> </w:t>
      </w:r>
      <w:r w:rsidRPr="004A1BA3">
        <w:rPr>
          <w:rFonts w:ascii="Arial" w:hAnsi="Arial" w:cs="Arial"/>
          <w:lang w:val="en-US"/>
        </w:rPr>
        <w:t>are not applicable to NB-IoT. The rest of the conditions</w:t>
      </w:r>
      <w:r w:rsidR="00C35C1C">
        <w:rPr>
          <w:rFonts w:ascii="Arial" w:hAnsi="Arial" w:cs="Arial"/>
          <w:lang w:val="en-US"/>
        </w:rPr>
        <w:t xml:space="preserve"> according to 3GPP TS 36.322</w:t>
      </w:r>
      <w:r w:rsidRPr="004A1BA3">
        <w:rPr>
          <w:rFonts w:ascii="Arial" w:hAnsi="Arial" w:cs="Arial"/>
          <w:lang w:val="en-US"/>
        </w:rPr>
        <w:t xml:space="preserve"> are: 1) “if both the transmission buffer and the retransmission buffer become empty (excluding transmitted RLC data PDU </w:t>
      </w:r>
      <w:proofErr w:type="gramStart"/>
      <w:r w:rsidRPr="004A1BA3">
        <w:rPr>
          <w:rFonts w:ascii="Arial" w:hAnsi="Arial" w:cs="Arial"/>
          <w:lang w:val="en-US"/>
        </w:rPr>
        <w:t>awaiting</w:t>
      </w:r>
      <w:proofErr w:type="gramEnd"/>
      <w:r w:rsidRPr="004A1BA3">
        <w:rPr>
          <w:rFonts w:ascii="Arial" w:hAnsi="Arial" w:cs="Arial"/>
          <w:lang w:val="en-US"/>
        </w:rPr>
        <w:t xml:space="preserve"> for acknowledgements) after the transmission of the RLC data PDU”, 2) “if no new RLC data PDU can be transmitted after the transmission of the RLC data PDU (e.g. due to window stalling)”. Hence, only when all the data has been transmitted or window stalling</w:t>
      </w:r>
      <w:r w:rsidR="005951B0">
        <w:rPr>
          <w:rFonts w:ascii="Arial" w:hAnsi="Arial" w:cs="Arial"/>
          <w:lang w:val="en-US"/>
        </w:rPr>
        <w:t xml:space="preserve"> </w:t>
      </w:r>
      <w:r w:rsidRPr="004A1BA3">
        <w:rPr>
          <w:rFonts w:ascii="Arial" w:hAnsi="Arial" w:cs="Arial"/>
          <w:lang w:val="en-US"/>
        </w:rPr>
        <w:t xml:space="preserve">(all the unacknowledged RLC PDU has reached the sending window), can the polling be triggered. The chance of triggering polling is rare. The failure reception of RLC PDU will block the delivering data to upper layer. Considering the increasing chance of failure reception of RLC PDU, and the rare chance of polling which requests the peer AM RLC entity to retransmit the data, the chance of blockage will increase. As a result, the data transmission latency will suffer. </w:t>
      </w:r>
    </w:p>
    <w:p w14:paraId="740E1B05" w14:textId="270B7783" w:rsidR="004A1BA3" w:rsidRPr="004A1BA3" w:rsidRDefault="002325AE" w:rsidP="004A1BA3">
      <w:pPr>
        <w:jc w:val="both"/>
        <w:rPr>
          <w:rFonts w:ascii="Arial" w:hAnsi="Arial" w:cs="Arial"/>
          <w:lang w:val="en-US"/>
        </w:rPr>
      </w:pPr>
      <w:r>
        <w:rPr>
          <w:rFonts w:ascii="Arial" w:hAnsi="Arial" w:cs="Arial"/>
          <w:lang w:val="en-US"/>
        </w:rPr>
        <w:t>I</w:t>
      </w:r>
      <w:r w:rsidR="004A1BA3" w:rsidRPr="004A1BA3">
        <w:rPr>
          <w:rFonts w:ascii="Arial" w:hAnsi="Arial" w:cs="Arial"/>
          <w:lang w:val="en-US"/>
        </w:rPr>
        <w:t xml:space="preserve">n the downlink transmission, UE can autonomously send STATUS report when the receiving side of AM RLC entity in UE detects a reception failure of an RLC data PDU by the SN gap. For NB-IoT which has no dedicated Physical Uplink Control Channel (PUCCH), UE needs to apply </w:t>
      </w:r>
      <w:r w:rsidR="004A1BA3" w:rsidRPr="004A1BA3">
        <w:rPr>
          <w:rFonts w:ascii="Arial" w:hAnsi="Arial" w:cs="Arial" w:hint="eastAsia"/>
          <w:lang w:val="en-US"/>
        </w:rPr>
        <w:t>for</w:t>
      </w:r>
      <w:r w:rsidR="004A1BA3" w:rsidRPr="004A1BA3">
        <w:rPr>
          <w:rFonts w:ascii="Arial" w:hAnsi="Arial" w:cs="Arial"/>
          <w:lang w:val="en-US"/>
        </w:rPr>
        <w:t xml:space="preserve"> the uplink grant by the </w:t>
      </w:r>
      <w:proofErr w:type="gramStart"/>
      <w:r w:rsidR="004A1BA3" w:rsidRPr="004A1BA3">
        <w:rPr>
          <w:rFonts w:ascii="Arial" w:hAnsi="Arial" w:cs="Arial"/>
          <w:lang w:val="en-US"/>
        </w:rPr>
        <w:t>random access</w:t>
      </w:r>
      <w:proofErr w:type="gramEnd"/>
      <w:r w:rsidR="004A1BA3" w:rsidRPr="004A1BA3">
        <w:rPr>
          <w:rFonts w:ascii="Arial" w:hAnsi="Arial" w:cs="Arial"/>
          <w:lang w:val="en-US"/>
        </w:rPr>
        <w:t xml:space="preserve"> procedure to send the UL </w:t>
      </w:r>
      <w:r w:rsidR="004A1BA3" w:rsidRPr="004A1BA3">
        <w:rPr>
          <w:rFonts w:ascii="Arial" w:hAnsi="Arial" w:cs="Arial"/>
          <w:lang w:val="en-US"/>
        </w:rPr>
        <w:lastRenderedPageBreak/>
        <w:t xml:space="preserve">STATUS report. The cell’s coverage in the NTN scenario is typically larger than in the TN scenario, and probably is not adjustable due to the limit satellite resource, so the number of UE covered by the cell could be much greater than in the TN scenario. The </w:t>
      </w:r>
      <w:proofErr w:type="gramStart"/>
      <w:r w:rsidR="004A1BA3" w:rsidRPr="004A1BA3">
        <w:rPr>
          <w:rFonts w:ascii="Arial" w:hAnsi="Arial" w:cs="Arial"/>
          <w:lang w:val="en-US"/>
        </w:rPr>
        <w:t>random access</w:t>
      </w:r>
      <w:proofErr w:type="gramEnd"/>
      <w:r w:rsidR="004A1BA3" w:rsidRPr="004A1BA3">
        <w:rPr>
          <w:rFonts w:ascii="Arial" w:hAnsi="Arial" w:cs="Arial"/>
          <w:lang w:val="en-US"/>
        </w:rPr>
        <w:t xml:space="preserve"> preamble resource is more likely to be deficient. Not only are the resources limited, </w:t>
      </w:r>
      <w:proofErr w:type="gramStart"/>
      <w:r w:rsidR="004A1BA3" w:rsidRPr="004A1BA3">
        <w:rPr>
          <w:rFonts w:ascii="Arial" w:hAnsi="Arial" w:cs="Arial"/>
          <w:lang w:val="en-US"/>
        </w:rPr>
        <w:t>the random access latency is</w:t>
      </w:r>
      <w:proofErr w:type="gramEnd"/>
      <w:r w:rsidR="004A1BA3" w:rsidRPr="004A1BA3">
        <w:rPr>
          <w:rFonts w:ascii="Arial" w:hAnsi="Arial" w:cs="Arial"/>
          <w:lang w:val="en-US"/>
        </w:rPr>
        <w:t xml:space="preserve"> much higher than in the TN scenario. A typical </w:t>
      </w:r>
      <w:proofErr w:type="gramStart"/>
      <w:r w:rsidR="004A1BA3" w:rsidRPr="004A1BA3">
        <w:rPr>
          <w:rFonts w:ascii="Arial" w:hAnsi="Arial" w:cs="Arial" w:hint="eastAsia"/>
          <w:lang w:val="en-US"/>
        </w:rPr>
        <w:t>r</w:t>
      </w:r>
      <w:r w:rsidR="004A1BA3" w:rsidRPr="004A1BA3">
        <w:rPr>
          <w:rFonts w:ascii="Arial" w:hAnsi="Arial" w:cs="Arial"/>
          <w:lang w:val="en-US"/>
        </w:rPr>
        <w:t xml:space="preserve">andom </w:t>
      </w:r>
      <w:r w:rsidR="004A1BA3" w:rsidRPr="004A1BA3">
        <w:rPr>
          <w:rFonts w:ascii="Arial" w:hAnsi="Arial" w:cs="Arial" w:hint="eastAsia"/>
          <w:lang w:val="en-US"/>
        </w:rPr>
        <w:t>ac</w:t>
      </w:r>
      <w:r w:rsidR="004A1BA3" w:rsidRPr="004A1BA3">
        <w:rPr>
          <w:rFonts w:ascii="Arial" w:hAnsi="Arial" w:cs="Arial"/>
          <w:lang w:val="en-US"/>
        </w:rPr>
        <w:t>cess</w:t>
      </w:r>
      <w:proofErr w:type="gramEnd"/>
      <w:r w:rsidR="004A1BA3" w:rsidRPr="004A1BA3">
        <w:rPr>
          <w:rFonts w:ascii="Arial" w:hAnsi="Arial" w:cs="Arial"/>
          <w:lang w:val="en-US"/>
        </w:rPr>
        <w:t xml:space="preserve"> procedure takes 4 steps, each step takes 20ms to 90ms for propagation delay in LEO and takes 270ms for GEO, compared to less than 1ms </w:t>
      </w:r>
      <w:r w:rsidR="004A1BA3" w:rsidRPr="004A1BA3">
        <w:rPr>
          <w:rFonts w:ascii="Arial" w:hAnsi="Arial" w:cs="Arial" w:hint="eastAsia"/>
          <w:lang w:val="en-US"/>
        </w:rPr>
        <w:t>taken</w:t>
      </w:r>
      <w:r w:rsidR="004A1BA3" w:rsidRPr="004A1BA3">
        <w:rPr>
          <w:rFonts w:ascii="Arial" w:hAnsi="Arial" w:cs="Arial"/>
          <w:lang w:val="en-US"/>
        </w:rPr>
        <w:t xml:space="preserve"> in propagation delay in TN scenario. It takes valuable random access preamble resource and large transmission latency to send the status report when detecting a reception failure of an RLC PDU, which can be improved.</w:t>
      </w:r>
    </w:p>
    <w:p w14:paraId="2435EB1B" w14:textId="091346A4" w:rsidR="004A1BA3" w:rsidRPr="004A1BA3" w:rsidRDefault="004A1BA3" w:rsidP="004A1BA3">
      <w:pPr>
        <w:rPr>
          <w:rFonts w:ascii="Arial" w:hAnsi="Arial" w:cs="Arial"/>
          <w:b/>
          <w:bCs/>
        </w:rPr>
      </w:pPr>
      <w:r w:rsidRPr="004A1BA3">
        <w:rPr>
          <w:rFonts w:ascii="Arial" w:hAnsi="Arial" w:cs="Arial" w:hint="eastAsia"/>
          <w:b/>
          <w:bCs/>
        </w:rPr>
        <w:t>O</w:t>
      </w:r>
      <w:r w:rsidRPr="004A1BA3">
        <w:rPr>
          <w:rFonts w:ascii="Arial" w:hAnsi="Arial" w:cs="Arial"/>
          <w:b/>
          <w:bCs/>
        </w:rPr>
        <w:t xml:space="preserve">bservation </w:t>
      </w:r>
      <w:r>
        <w:rPr>
          <w:rFonts w:ascii="Arial" w:hAnsi="Arial" w:cs="Arial"/>
          <w:b/>
          <w:bCs/>
        </w:rPr>
        <w:t>2</w:t>
      </w:r>
      <w:r w:rsidRPr="004A1BA3">
        <w:rPr>
          <w:rFonts w:ascii="Arial" w:hAnsi="Arial" w:cs="Arial"/>
          <w:b/>
          <w:bCs/>
        </w:rPr>
        <w:t>: For NB-IoT, after disabling HARQ feedback, RLC can be enhanced to improve data transmission latency.</w:t>
      </w:r>
    </w:p>
    <w:p w14:paraId="7F66FC29" w14:textId="747AFA82" w:rsidR="004A1BA3" w:rsidRPr="004A1BA3" w:rsidRDefault="004A1BA3" w:rsidP="004A1BA3">
      <w:pPr>
        <w:jc w:val="both"/>
        <w:rPr>
          <w:rFonts w:ascii="Arial" w:hAnsi="Arial" w:cs="Arial"/>
          <w:lang w:val="en-US"/>
        </w:rPr>
      </w:pPr>
      <w:r w:rsidRPr="004A1BA3">
        <w:rPr>
          <w:rFonts w:ascii="Arial" w:hAnsi="Arial" w:cs="Arial"/>
          <w:lang w:val="en-US"/>
        </w:rPr>
        <w:t xml:space="preserve">To add more chances to send polling to compensate for the loss of the data transmission latency, and to improve the situation of UE autonomously sending STATUS </w:t>
      </w:r>
      <w:r w:rsidR="003C22AA" w:rsidRPr="004A1BA3">
        <w:rPr>
          <w:rFonts w:ascii="Arial" w:hAnsi="Arial" w:cs="Arial"/>
          <w:lang w:val="en-US"/>
        </w:rPr>
        <w:t>report (</w:t>
      </w:r>
      <w:r w:rsidRPr="004A1BA3">
        <w:rPr>
          <w:rFonts w:ascii="Arial" w:hAnsi="Arial" w:cs="Arial"/>
          <w:lang w:val="en-US"/>
        </w:rPr>
        <w:t>to save the valuable random access preamble resource and reduce the latency of sending STATUS report), we propose to enhance RLC in IoT NTN, especially for polling and STATUS report mechanism. More specifically, we propose to consider the following alternatives schemes for enhancing RLC in IoT NTN:</w:t>
      </w:r>
    </w:p>
    <w:p w14:paraId="5C67FE08" w14:textId="77777777" w:rsidR="004A1BA3" w:rsidRPr="004A1BA3" w:rsidRDefault="004A1BA3" w:rsidP="004A1BA3">
      <w:pPr>
        <w:rPr>
          <w:rFonts w:ascii="Arial" w:hAnsi="Arial" w:cs="Arial"/>
        </w:rPr>
      </w:pPr>
      <w:r w:rsidRPr="004A1BA3">
        <w:rPr>
          <w:rFonts w:ascii="Arial" w:hAnsi="Arial" w:cs="Arial"/>
        </w:rPr>
        <w:t xml:space="preserve">To improve the transmission latency, a more frequent polling can </w:t>
      </w:r>
      <w:r w:rsidRPr="004A1BA3">
        <w:rPr>
          <w:rFonts w:ascii="Arial" w:hAnsi="Arial" w:cs="Arial" w:hint="eastAsia"/>
        </w:rPr>
        <w:t>help.</w:t>
      </w:r>
    </w:p>
    <w:p w14:paraId="1C89645B" w14:textId="77777777" w:rsidR="004A1BA3" w:rsidRPr="004A1BA3" w:rsidRDefault="004A1BA3" w:rsidP="004A1BA3">
      <w:pPr>
        <w:rPr>
          <w:rFonts w:ascii="Arial" w:hAnsi="Arial" w:cs="Arial"/>
          <w:b/>
          <w:bCs/>
        </w:rPr>
      </w:pPr>
      <w:r w:rsidRPr="004A1BA3">
        <w:rPr>
          <w:rFonts w:ascii="Arial" w:hAnsi="Arial" w:cs="Arial"/>
        </w:rPr>
        <w:t>In the condition of window stalling, polling can be triggered to request peer AM RLC entity to send STATUS report. Shortening the AM RLC window size can trigger polling more easily. It can help to reduce the transmission latency,</w:t>
      </w:r>
    </w:p>
    <w:p w14:paraId="5DDBBCAA" w14:textId="62B36EAE" w:rsidR="004A1BA3" w:rsidRPr="004A1BA3" w:rsidRDefault="004A1BA3" w:rsidP="004A1BA3">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Pr>
          <w:rFonts w:ascii="Arial" w:hAnsi="Arial" w:cs="Arial"/>
          <w:b/>
          <w:bCs/>
        </w:rPr>
        <w:t>3</w:t>
      </w:r>
      <w:r w:rsidRPr="004A1BA3">
        <w:rPr>
          <w:rFonts w:ascii="Arial" w:hAnsi="Arial" w:cs="Arial"/>
          <w:b/>
          <w:bCs/>
        </w:rPr>
        <w:t>: For NB-IoT, shorten the AM RLC window size.</w:t>
      </w:r>
    </w:p>
    <w:p w14:paraId="51E1BC25" w14:textId="77777777" w:rsidR="004A1BA3" w:rsidRPr="004A1BA3" w:rsidRDefault="004A1BA3" w:rsidP="004A1BA3">
      <w:pPr>
        <w:jc w:val="both"/>
        <w:rPr>
          <w:rFonts w:ascii="Arial" w:hAnsi="Arial" w:cs="Arial"/>
          <w:lang w:val="en-US"/>
        </w:rPr>
      </w:pPr>
      <w:r w:rsidRPr="004A1BA3">
        <w:rPr>
          <w:rFonts w:ascii="Arial" w:hAnsi="Arial" w:cs="Arial"/>
          <w:lang w:val="en-US"/>
        </w:rPr>
        <w:t>The condition based on unacknowledged RLC PDU number and condition based on unacknowledged byte size to trigger polling are not applicable to NB-IoT now. To allow more frequent polling, these two conditions can be added to NB-IoT.</w:t>
      </w:r>
    </w:p>
    <w:p w14:paraId="5BFBB0FB" w14:textId="763FF226" w:rsidR="004A1BA3" w:rsidRPr="004A1BA3" w:rsidRDefault="004A1BA3" w:rsidP="004A1BA3">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Pr>
          <w:rFonts w:ascii="Arial" w:hAnsi="Arial" w:cs="Arial"/>
          <w:b/>
          <w:bCs/>
        </w:rPr>
        <w:t>4</w:t>
      </w:r>
      <w:r w:rsidRPr="004A1BA3">
        <w:rPr>
          <w:rFonts w:ascii="Arial" w:hAnsi="Arial" w:cs="Arial"/>
          <w:b/>
          <w:bCs/>
        </w:rPr>
        <w:t>: For NB-IoT, add condition based on unacknowledged RLC PDU number and condition based on unacknowledged byte size to trigger polling.</w:t>
      </w:r>
    </w:p>
    <w:p w14:paraId="53F33ED7" w14:textId="37AAD276" w:rsidR="004A1BA3" w:rsidRPr="004A1BA3" w:rsidRDefault="004A1BA3" w:rsidP="004A1BA3">
      <w:pPr>
        <w:jc w:val="both"/>
        <w:rPr>
          <w:rFonts w:ascii="Arial" w:hAnsi="Arial" w:cs="Arial"/>
          <w:lang w:val="en-US"/>
        </w:rPr>
      </w:pPr>
      <w:r w:rsidRPr="004A1BA3">
        <w:rPr>
          <w:rFonts w:ascii="Arial" w:hAnsi="Arial" w:cs="Arial" w:hint="eastAsia"/>
          <w:lang w:val="en-US"/>
        </w:rPr>
        <w:t>T</w:t>
      </w:r>
      <w:r w:rsidRPr="004A1BA3">
        <w:rPr>
          <w:rFonts w:ascii="Arial" w:hAnsi="Arial" w:cs="Arial"/>
          <w:lang w:val="en-US"/>
        </w:rPr>
        <w:t xml:space="preserve">o save random access preamble resource and to improve the transmission latency for UE autonomously sending STATUS report, the pre-configured Semi-Persistent Scheduling (SPS) periodical UL resource can be utilized.  Since NPUSCH resource is preconfigured, the valuable Random Access preamble resource can be saved. There are no four steps of the </w:t>
      </w:r>
      <w:proofErr w:type="gramStart"/>
      <w:r w:rsidRPr="004A1BA3">
        <w:rPr>
          <w:rFonts w:ascii="Arial" w:hAnsi="Arial" w:cs="Arial"/>
          <w:lang w:val="en-US"/>
        </w:rPr>
        <w:t>random access</w:t>
      </w:r>
      <w:proofErr w:type="gramEnd"/>
      <w:r w:rsidRPr="004A1BA3">
        <w:rPr>
          <w:rFonts w:ascii="Arial" w:hAnsi="Arial" w:cs="Arial"/>
          <w:lang w:val="en-US"/>
        </w:rPr>
        <w:t xml:space="preserve"> procedure, so the long transmission latency can be saved. </w:t>
      </w:r>
    </w:p>
    <w:p w14:paraId="35BEB132" w14:textId="510D8E37" w:rsidR="004A1BA3" w:rsidRPr="004A1BA3" w:rsidRDefault="004A1BA3" w:rsidP="004A1BA3">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Pr>
          <w:rFonts w:ascii="Arial" w:hAnsi="Arial" w:cs="Arial"/>
          <w:b/>
          <w:bCs/>
        </w:rPr>
        <w:t>5</w:t>
      </w:r>
      <w:r w:rsidRPr="004A1BA3">
        <w:rPr>
          <w:rFonts w:ascii="Arial" w:hAnsi="Arial" w:cs="Arial"/>
          <w:b/>
          <w:bCs/>
        </w:rPr>
        <w:t xml:space="preserve">: For NB-IoT, allow UE autonomously send STATUS report by SPS resource when detect a failure of an </w:t>
      </w:r>
      <w:r w:rsidR="00E0564A">
        <w:rPr>
          <w:rFonts w:ascii="Arial" w:hAnsi="Arial" w:cs="Arial"/>
          <w:b/>
          <w:bCs/>
        </w:rPr>
        <w:t>R</w:t>
      </w:r>
      <w:r w:rsidR="00637150">
        <w:rPr>
          <w:rFonts w:ascii="Arial" w:hAnsi="Arial" w:cs="Arial"/>
          <w:b/>
          <w:bCs/>
        </w:rPr>
        <w:t>L</w:t>
      </w:r>
      <w:r w:rsidRPr="004A1BA3">
        <w:rPr>
          <w:rFonts w:ascii="Arial" w:hAnsi="Arial" w:cs="Arial"/>
          <w:b/>
          <w:bCs/>
        </w:rPr>
        <w:t>C PDU.</w:t>
      </w:r>
    </w:p>
    <w:p w14:paraId="6FA0A500" w14:textId="77777777" w:rsidR="004A1BA3" w:rsidRPr="004A1BA3" w:rsidRDefault="004A1BA3" w:rsidP="004A1BA3">
      <w:pPr>
        <w:jc w:val="both"/>
        <w:rPr>
          <w:rFonts w:ascii="Arial" w:hAnsi="Arial" w:cs="Arial"/>
          <w:lang w:val="en-US"/>
        </w:rPr>
      </w:pPr>
      <w:r w:rsidRPr="004A1BA3">
        <w:rPr>
          <w:rFonts w:ascii="Arial" w:hAnsi="Arial" w:cs="Arial"/>
          <w:lang w:val="en-US"/>
        </w:rPr>
        <w:t xml:space="preserve">Alternatively, if the </w:t>
      </w:r>
      <w:proofErr w:type="gramStart"/>
      <w:r w:rsidRPr="004A1BA3">
        <w:rPr>
          <w:rFonts w:ascii="Arial" w:hAnsi="Arial" w:cs="Arial"/>
          <w:lang w:val="en-US"/>
        </w:rPr>
        <w:t>random access</w:t>
      </w:r>
      <w:proofErr w:type="gramEnd"/>
      <w:r w:rsidRPr="004A1BA3">
        <w:rPr>
          <w:rFonts w:ascii="Arial" w:hAnsi="Arial" w:cs="Arial"/>
          <w:lang w:val="en-US"/>
        </w:rPr>
        <w:t xml:space="preserve"> preamble resource is not limited, a CFRA resource can be configured to UE to send </w:t>
      </w:r>
      <w:r w:rsidRPr="004A1BA3">
        <w:rPr>
          <w:rFonts w:ascii="Arial" w:hAnsi="Arial" w:cs="Arial" w:hint="eastAsia"/>
          <w:lang w:val="en-US"/>
        </w:rPr>
        <w:t>the</w:t>
      </w:r>
      <w:r w:rsidRPr="004A1BA3">
        <w:rPr>
          <w:rFonts w:ascii="Arial" w:hAnsi="Arial" w:cs="Arial"/>
          <w:lang w:val="en-US"/>
        </w:rPr>
        <w:t xml:space="preserve"> STATUS report. Comparing to CBRA, the transmission latency is reduced. CFRA also use less resource than dedicated SPS.</w:t>
      </w:r>
    </w:p>
    <w:p w14:paraId="00E6E90A" w14:textId="1015A8BA" w:rsidR="004A1BA3" w:rsidRPr="004A1BA3" w:rsidRDefault="004A1BA3" w:rsidP="004A1BA3">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Pr>
          <w:rFonts w:ascii="Arial" w:hAnsi="Arial" w:cs="Arial"/>
          <w:b/>
          <w:bCs/>
        </w:rPr>
        <w:t>6</w:t>
      </w:r>
      <w:r w:rsidRPr="004A1BA3">
        <w:rPr>
          <w:rFonts w:ascii="Arial" w:hAnsi="Arial" w:cs="Arial"/>
          <w:b/>
          <w:bCs/>
        </w:rPr>
        <w:t xml:space="preserve">: For NB-IoT, allow UE autonomously send STATUS report by CFRA resource when detect a failure of an </w:t>
      </w:r>
      <w:r w:rsidR="00E0564A">
        <w:rPr>
          <w:rFonts w:ascii="Arial" w:hAnsi="Arial" w:cs="Arial"/>
          <w:b/>
          <w:bCs/>
        </w:rPr>
        <w:t>R</w:t>
      </w:r>
      <w:r w:rsidR="00637150">
        <w:rPr>
          <w:rFonts w:ascii="Arial" w:hAnsi="Arial" w:cs="Arial"/>
          <w:b/>
          <w:bCs/>
        </w:rPr>
        <w:t>L</w:t>
      </w:r>
      <w:r w:rsidRPr="004A1BA3">
        <w:rPr>
          <w:rFonts w:ascii="Arial" w:hAnsi="Arial" w:cs="Arial"/>
          <w:b/>
          <w:bCs/>
        </w:rPr>
        <w:t>C PDU.</w:t>
      </w: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483F231E" w14:textId="77777777" w:rsidR="000F4D36" w:rsidRPr="009D3A14" w:rsidRDefault="000F4D36" w:rsidP="000F4D36">
      <w:pPr>
        <w:jc w:val="both"/>
        <w:rPr>
          <w:rFonts w:ascii="Arial" w:hAnsi="Arial" w:cs="Arial"/>
          <w:b/>
          <w:bCs/>
        </w:rPr>
      </w:pPr>
      <w:r w:rsidRPr="009D3A14">
        <w:rPr>
          <w:rFonts w:ascii="Arial" w:hAnsi="Arial" w:cs="Arial"/>
          <w:b/>
          <w:bCs/>
        </w:rPr>
        <w:t xml:space="preserve">Observation 1: </w:t>
      </w:r>
      <w:r>
        <w:rPr>
          <w:rFonts w:ascii="Arial" w:hAnsi="Arial" w:cs="Arial"/>
          <w:b/>
          <w:bCs/>
        </w:rPr>
        <w:t xml:space="preserve">Disabling HARQ feedback has the potential to increase data rates at the cost sacrificing robustness. </w:t>
      </w:r>
    </w:p>
    <w:p w14:paraId="763A7F7A" w14:textId="77777777" w:rsidR="000F4D36" w:rsidRDefault="000F4D36" w:rsidP="000F4D36">
      <w:pPr>
        <w:rPr>
          <w:rFonts w:ascii="Arial" w:hAnsi="Arial" w:cs="Arial"/>
          <w:lang w:val="en-US"/>
        </w:rPr>
      </w:pPr>
      <w:r w:rsidRPr="00423D89">
        <w:rPr>
          <w:rFonts w:ascii="Arial" w:hAnsi="Arial" w:cs="Arial"/>
          <w:b/>
          <w:bCs/>
        </w:rPr>
        <w:t xml:space="preserve">Proposal </w:t>
      </w:r>
      <w:r>
        <w:rPr>
          <w:rFonts w:ascii="Arial" w:hAnsi="Arial" w:cs="Arial"/>
          <w:b/>
          <w:bCs/>
        </w:rPr>
        <w:t>1: RAN2 will reuse NR-NTN agreements to semi-statically enable/disable HARQ feedback using RRC signalling on per HARQ process.</w:t>
      </w:r>
    </w:p>
    <w:p w14:paraId="4AC36EF8" w14:textId="77777777" w:rsidR="006F4DB7" w:rsidRPr="00681A2D" w:rsidRDefault="006F4DB7" w:rsidP="006F4DB7">
      <w:pPr>
        <w:rPr>
          <w:rFonts w:ascii="Arial" w:hAnsi="Arial" w:cs="Arial"/>
          <w:lang w:val="en-US"/>
        </w:rPr>
      </w:pPr>
      <w:r w:rsidRPr="00423D89">
        <w:rPr>
          <w:rFonts w:ascii="Arial" w:hAnsi="Arial" w:cs="Arial"/>
          <w:b/>
          <w:bCs/>
        </w:rPr>
        <w:t xml:space="preserve">Proposal </w:t>
      </w:r>
      <w:r w:rsidRPr="00EE7517">
        <w:rPr>
          <w:rFonts w:ascii="Arial" w:hAnsi="Arial" w:cs="Arial"/>
          <w:b/>
          <w:bCs/>
        </w:rPr>
        <w:t>2: As NB-IoT CP solutions do not use RRC Reconfiguration, msg4 could be used to semi-statically enable/disable HARQ feedback in NB-IoT based NTN.</w:t>
      </w:r>
    </w:p>
    <w:p w14:paraId="7663D845" w14:textId="77777777" w:rsidR="006F4DB7" w:rsidRPr="004A1BA3" w:rsidRDefault="006F4DB7" w:rsidP="006F4DB7">
      <w:pPr>
        <w:rPr>
          <w:rFonts w:ascii="Arial" w:hAnsi="Arial" w:cs="Arial"/>
          <w:b/>
          <w:bCs/>
        </w:rPr>
      </w:pPr>
      <w:r w:rsidRPr="004A1BA3">
        <w:rPr>
          <w:rFonts w:ascii="Arial" w:hAnsi="Arial" w:cs="Arial" w:hint="eastAsia"/>
          <w:b/>
          <w:bCs/>
        </w:rPr>
        <w:t>O</w:t>
      </w:r>
      <w:r w:rsidRPr="004A1BA3">
        <w:rPr>
          <w:rFonts w:ascii="Arial" w:hAnsi="Arial" w:cs="Arial"/>
          <w:b/>
          <w:bCs/>
        </w:rPr>
        <w:t xml:space="preserve">bservation </w:t>
      </w:r>
      <w:r>
        <w:rPr>
          <w:rFonts w:ascii="Arial" w:hAnsi="Arial" w:cs="Arial"/>
          <w:b/>
          <w:bCs/>
        </w:rPr>
        <w:t>2</w:t>
      </w:r>
      <w:r w:rsidRPr="004A1BA3">
        <w:rPr>
          <w:rFonts w:ascii="Arial" w:hAnsi="Arial" w:cs="Arial"/>
          <w:b/>
          <w:bCs/>
        </w:rPr>
        <w:t>: For NB-IoT, after disabling HARQ feedback, RLC can be enhanced to improve data transmission latency.</w:t>
      </w:r>
    </w:p>
    <w:p w14:paraId="3A3BF421" w14:textId="77777777" w:rsidR="006F4DB7" w:rsidRPr="004A1BA3" w:rsidRDefault="006F4DB7" w:rsidP="006F4DB7">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Pr>
          <w:rFonts w:ascii="Arial" w:hAnsi="Arial" w:cs="Arial"/>
          <w:b/>
          <w:bCs/>
        </w:rPr>
        <w:t>3</w:t>
      </w:r>
      <w:r w:rsidRPr="004A1BA3">
        <w:rPr>
          <w:rFonts w:ascii="Arial" w:hAnsi="Arial" w:cs="Arial"/>
          <w:b/>
          <w:bCs/>
        </w:rPr>
        <w:t>: For NB-IoT, shorten the AM RLC window size.</w:t>
      </w:r>
    </w:p>
    <w:p w14:paraId="654B7E95" w14:textId="77777777" w:rsidR="006F4DB7" w:rsidRPr="004A1BA3" w:rsidRDefault="006F4DB7" w:rsidP="006F4DB7">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Pr>
          <w:rFonts w:ascii="Arial" w:hAnsi="Arial" w:cs="Arial"/>
          <w:b/>
          <w:bCs/>
        </w:rPr>
        <w:t>4</w:t>
      </w:r>
      <w:r w:rsidRPr="004A1BA3">
        <w:rPr>
          <w:rFonts w:ascii="Arial" w:hAnsi="Arial" w:cs="Arial"/>
          <w:b/>
          <w:bCs/>
        </w:rPr>
        <w:t>: For NB-IoT, add condition based on unacknowledged RLC PDU number and condition based on unacknowledged byte size to trigger polling.</w:t>
      </w:r>
    </w:p>
    <w:p w14:paraId="19589397" w14:textId="09B98738" w:rsidR="006F4DB7" w:rsidRPr="004A1BA3" w:rsidRDefault="006F4DB7" w:rsidP="006F4DB7">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Pr>
          <w:rFonts w:ascii="Arial" w:hAnsi="Arial" w:cs="Arial"/>
          <w:b/>
          <w:bCs/>
        </w:rPr>
        <w:t>5</w:t>
      </w:r>
      <w:r w:rsidRPr="004A1BA3">
        <w:rPr>
          <w:rFonts w:ascii="Arial" w:hAnsi="Arial" w:cs="Arial"/>
          <w:b/>
          <w:bCs/>
        </w:rPr>
        <w:t xml:space="preserve">: For NB-IoT, allow UE autonomously send STATUS report by SPS resource when detect a failure of an </w:t>
      </w:r>
      <w:r w:rsidR="001565D9">
        <w:rPr>
          <w:rFonts w:ascii="Arial" w:hAnsi="Arial" w:cs="Arial"/>
          <w:b/>
          <w:bCs/>
        </w:rPr>
        <w:t>R</w:t>
      </w:r>
      <w:r w:rsidRPr="004A1BA3">
        <w:rPr>
          <w:rFonts w:ascii="Arial" w:hAnsi="Arial" w:cs="Arial"/>
          <w:b/>
          <w:bCs/>
        </w:rPr>
        <w:t>LC PDU.</w:t>
      </w:r>
    </w:p>
    <w:p w14:paraId="7809EAB5" w14:textId="4A4A5146" w:rsidR="006F4DB7" w:rsidRPr="004A1BA3" w:rsidRDefault="006F4DB7" w:rsidP="006F4DB7">
      <w:pPr>
        <w:rPr>
          <w:rFonts w:ascii="Arial" w:hAnsi="Arial" w:cs="Arial"/>
          <w:b/>
          <w:bCs/>
        </w:rPr>
      </w:pPr>
      <w:r w:rsidRPr="004A1BA3">
        <w:rPr>
          <w:rFonts w:ascii="Arial" w:hAnsi="Arial" w:cs="Arial" w:hint="eastAsia"/>
          <w:b/>
          <w:bCs/>
        </w:rPr>
        <w:t>P</w:t>
      </w:r>
      <w:r w:rsidRPr="004A1BA3">
        <w:rPr>
          <w:rFonts w:ascii="Arial" w:hAnsi="Arial" w:cs="Arial"/>
          <w:b/>
          <w:bCs/>
        </w:rPr>
        <w:t xml:space="preserve">roposal </w:t>
      </w:r>
      <w:r>
        <w:rPr>
          <w:rFonts w:ascii="Arial" w:hAnsi="Arial" w:cs="Arial"/>
          <w:b/>
          <w:bCs/>
        </w:rPr>
        <w:t>6</w:t>
      </w:r>
      <w:r w:rsidRPr="004A1BA3">
        <w:rPr>
          <w:rFonts w:ascii="Arial" w:hAnsi="Arial" w:cs="Arial"/>
          <w:b/>
          <w:bCs/>
        </w:rPr>
        <w:t xml:space="preserve">: For NB-IoT, allow UE autonomously send STATUS report by CFRA resource when detect a failure of an </w:t>
      </w:r>
      <w:r w:rsidR="001565D9">
        <w:rPr>
          <w:rFonts w:ascii="Arial" w:hAnsi="Arial" w:cs="Arial"/>
          <w:b/>
          <w:bCs/>
        </w:rPr>
        <w:t>R</w:t>
      </w:r>
      <w:r w:rsidRPr="004A1BA3">
        <w:rPr>
          <w:rFonts w:ascii="Arial" w:hAnsi="Arial" w:cs="Arial"/>
          <w:b/>
          <w:bCs/>
        </w:rPr>
        <w:t>LC PDU.</w:t>
      </w:r>
    </w:p>
    <w:p w14:paraId="54159F23" w14:textId="14611DD1" w:rsidR="00EF622C" w:rsidRDefault="00910E31" w:rsidP="00F54927">
      <w:pPr>
        <w:pStyle w:val="Heading1"/>
        <w:pBdr>
          <w:top w:val="single" w:sz="12" w:space="0" w:color="auto"/>
        </w:pBdr>
        <w:rPr>
          <w:lang w:val="en-US" w:eastAsia="ko-KR"/>
        </w:rPr>
      </w:pPr>
      <w:r>
        <w:rPr>
          <w:lang w:eastAsia="ko-KR"/>
        </w:rPr>
        <w:lastRenderedPageBreak/>
        <w:t>4</w:t>
      </w:r>
      <w:r w:rsidR="00EF622C">
        <w:rPr>
          <w:lang w:val="en-US" w:eastAsia="ko-KR"/>
        </w:rPr>
        <w:t xml:space="preserve"> References</w:t>
      </w:r>
    </w:p>
    <w:p w14:paraId="26938C29" w14:textId="616F9614" w:rsidR="008B5FE1" w:rsidRPr="00F125CD" w:rsidRDefault="008B5FE1" w:rsidP="008B5FE1">
      <w:pPr>
        <w:pStyle w:val="ListParagraph"/>
        <w:numPr>
          <w:ilvl w:val="0"/>
          <w:numId w:val="2"/>
        </w:numPr>
        <w:spacing w:after="180"/>
        <w:rPr>
          <w:rFonts w:ascii="Arial" w:hAnsi="Arial" w:cs="Arial"/>
          <w:sz w:val="20"/>
          <w:szCs w:val="20"/>
          <w:lang w:val="en-US"/>
        </w:rPr>
      </w:pPr>
      <w:bookmarkStart w:id="2" w:name="_Ref109647240"/>
      <w:bookmarkStart w:id="3" w:name="_Ref7643634"/>
      <w:bookmarkStart w:id="4" w:name="_Ref7104523"/>
      <w:bookmarkStart w:id="5" w:name="_Ref4159051"/>
      <w:r w:rsidRPr="00D857B5">
        <w:rPr>
          <w:rFonts w:ascii="Arial" w:hAnsi="Arial" w:cs="Arial"/>
          <w:sz w:val="20"/>
          <w:szCs w:val="20"/>
          <w:lang w:val="en-US"/>
        </w:rPr>
        <w:t>RP-22</w:t>
      </w:r>
      <w:r w:rsidR="00450E2E">
        <w:rPr>
          <w:rFonts w:ascii="Arial" w:hAnsi="Arial" w:cs="Arial"/>
          <w:sz w:val="20"/>
          <w:szCs w:val="20"/>
          <w:lang w:val="en-US"/>
        </w:rPr>
        <w:t>1554</w:t>
      </w:r>
      <w:r w:rsidRPr="00F125CD">
        <w:rPr>
          <w:rFonts w:ascii="Arial" w:hAnsi="Arial" w:cs="Arial"/>
          <w:sz w:val="20"/>
          <w:szCs w:val="20"/>
          <w:lang w:val="en-US"/>
        </w:rPr>
        <w:t xml:space="preserve">, </w:t>
      </w:r>
      <w:r w:rsidR="00450E2E">
        <w:rPr>
          <w:rFonts w:ascii="Arial" w:hAnsi="Arial" w:cs="Arial"/>
          <w:sz w:val="20"/>
          <w:szCs w:val="20"/>
          <w:lang w:val="en-US"/>
        </w:rPr>
        <w:t>MediaTek</w:t>
      </w:r>
      <w:r w:rsidRPr="00F125CD">
        <w:rPr>
          <w:rFonts w:ascii="Arial" w:hAnsi="Arial" w:cs="Arial"/>
          <w:sz w:val="20"/>
          <w:szCs w:val="20"/>
          <w:lang w:val="en-US"/>
        </w:rPr>
        <w:t>,</w:t>
      </w:r>
      <w:r w:rsidR="00450E2E">
        <w:rPr>
          <w:rFonts w:ascii="Arial" w:hAnsi="Arial" w:cs="Arial"/>
          <w:sz w:val="20"/>
          <w:szCs w:val="20"/>
          <w:lang w:val="en-US"/>
        </w:rPr>
        <w:t xml:space="preserve"> WID on IoT NTN Enhancements</w:t>
      </w:r>
      <w:r w:rsidRPr="00F125CD">
        <w:rPr>
          <w:rFonts w:ascii="Arial" w:hAnsi="Arial" w:cs="Arial"/>
          <w:sz w:val="20"/>
          <w:szCs w:val="20"/>
          <w:lang w:val="en-US"/>
        </w:rPr>
        <w:t>, RAN#</w:t>
      </w:r>
      <w:r>
        <w:rPr>
          <w:rFonts w:ascii="Arial" w:hAnsi="Arial" w:cs="Arial"/>
          <w:sz w:val="20"/>
          <w:szCs w:val="20"/>
          <w:lang w:val="en-US"/>
        </w:rPr>
        <w:t>9</w:t>
      </w:r>
      <w:r w:rsidR="00450E2E">
        <w:rPr>
          <w:rFonts w:ascii="Arial" w:hAnsi="Arial" w:cs="Arial"/>
          <w:sz w:val="20"/>
          <w:szCs w:val="20"/>
          <w:lang w:val="en-US"/>
        </w:rPr>
        <w:t>6</w:t>
      </w:r>
      <w:r>
        <w:rPr>
          <w:rFonts w:ascii="Arial" w:hAnsi="Arial" w:cs="Arial"/>
          <w:sz w:val="20"/>
          <w:szCs w:val="20"/>
          <w:lang w:val="en-US"/>
        </w:rPr>
        <w:t>e</w:t>
      </w:r>
      <w:r w:rsidRPr="00F125CD">
        <w:rPr>
          <w:rFonts w:ascii="Arial" w:hAnsi="Arial" w:cs="Arial"/>
          <w:sz w:val="20"/>
          <w:szCs w:val="20"/>
          <w:lang w:val="en-US"/>
        </w:rPr>
        <w:t xml:space="preserve">, June </w:t>
      </w:r>
      <w:r>
        <w:rPr>
          <w:rFonts w:ascii="Arial" w:hAnsi="Arial" w:cs="Arial"/>
          <w:sz w:val="20"/>
          <w:szCs w:val="20"/>
          <w:lang w:val="en-US"/>
        </w:rPr>
        <w:t>2022</w:t>
      </w:r>
      <w:r w:rsidRPr="00F125CD">
        <w:rPr>
          <w:rFonts w:ascii="Arial" w:hAnsi="Arial" w:cs="Arial"/>
          <w:sz w:val="20"/>
          <w:szCs w:val="20"/>
          <w:lang w:val="en-US"/>
        </w:rPr>
        <w:t>.</w:t>
      </w:r>
      <w:bookmarkEnd w:id="2"/>
    </w:p>
    <w:bookmarkEnd w:id="3"/>
    <w:bookmarkEnd w:id="4"/>
    <w:bookmarkEnd w:id="5"/>
    <w:p w14:paraId="4D393DDF" w14:textId="037E22E0" w:rsidR="003D3512" w:rsidRDefault="003D3512" w:rsidP="00CF3106">
      <w:pPr>
        <w:pStyle w:val="Heading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95602" w14:textId="77777777" w:rsidR="001D41C9" w:rsidRDefault="001D41C9">
      <w:r>
        <w:separator/>
      </w:r>
    </w:p>
  </w:endnote>
  <w:endnote w:type="continuationSeparator" w:id="0">
    <w:p w14:paraId="6AD46B44" w14:textId="77777777" w:rsidR="001D41C9" w:rsidRDefault="001D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3A64F" w14:textId="77777777" w:rsidR="001D41C9" w:rsidRDefault="001D41C9">
      <w:r>
        <w:separator/>
      </w:r>
    </w:p>
  </w:footnote>
  <w:footnote w:type="continuationSeparator" w:id="0">
    <w:p w14:paraId="721C21F0" w14:textId="77777777" w:rsidR="001D41C9" w:rsidRDefault="001D4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0"/>
  </w:num>
  <w:num w:numId="3">
    <w:abstractNumId w:val="10"/>
  </w:num>
  <w:num w:numId="4">
    <w:abstractNumId w:val="12"/>
  </w:num>
  <w:num w:numId="5">
    <w:abstractNumId w:val="2"/>
  </w:num>
  <w:num w:numId="6">
    <w:abstractNumId w:val="1"/>
  </w:num>
  <w:num w:numId="7">
    <w:abstractNumId w:val="8"/>
  </w:num>
  <w:num w:numId="8">
    <w:abstractNumId w:val="17"/>
  </w:num>
  <w:num w:numId="9">
    <w:abstractNumId w:val="4"/>
  </w:num>
  <w:num w:numId="10">
    <w:abstractNumId w:val="19"/>
  </w:num>
  <w:num w:numId="11">
    <w:abstractNumId w:val="20"/>
  </w:num>
  <w:num w:numId="12">
    <w:abstractNumId w:val="7"/>
  </w:num>
  <w:num w:numId="13">
    <w:abstractNumId w:val="16"/>
  </w:num>
  <w:num w:numId="14">
    <w:abstractNumId w:val="13"/>
  </w:num>
  <w:num w:numId="15">
    <w:abstractNumId w:val="5"/>
  </w:num>
  <w:num w:numId="16">
    <w:abstractNumId w:val="9"/>
  </w:num>
  <w:num w:numId="17">
    <w:abstractNumId w:val="11"/>
  </w:num>
  <w:num w:numId="18">
    <w:abstractNumId w:val="14"/>
  </w:num>
  <w:num w:numId="19">
    <w:abstractNumId w:val="21"/>
  </w:num>
  <w:num w:numId="20">
    <w:abstractNumId w:val="15"/>
  </w:num>
  <w:num w:numId="21">
    <w:abstractNumId w:val="18"/>
  </w:num>
  <w:num w:numId="2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750"/>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D36"/>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5D9"/>
    <w:rsid w:val="00156A1A"/>
    <w:rsid w:val="00156DB3"/>
    <w:rsid w:val="001573F9"/>
    <w:rsid w:val="00157560"/>
    <w:rsid w:val="00161122"/>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41C9"/>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25AE"/>
    <w:rsid w:val="00234605"/>
    <w:rsid w:val="00234912"/>
    <w:rsid w:val="00234EA5"/>
    <w:rsid w:val="00235CC1"/>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552B"/>
    <w:rsid w:val="003470D0"/>
    <w:rsid w:val="0034739C"/>
    <w:rsid w:val="00351105"/>
    <w:rsid w:val="003516ED"/>
    <w:rsid w:val="003545DC"/>
    <w:rsid w:val="00355BEA"/>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2AA"/>
    <w:rsid w:val="003C2856"/>
    <w:rsid w:val="003C5561"/>
    <w:rsid w:val="003C59AD"/>
    <w:rsid w:val="003C68A7"/>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0E2E"/>
    <w:rsid w:val="0045113F"/>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67E45"/>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BA3"/>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51B0"/>
    <w:rsid w:val="0059577A"/>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62F2"/>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37150"/>
    <w:rsid w:val="0064084F"/>
    <w:rsid w:val="00642EB1"/>
    <w:rsid w:val="006435BF"/>
    <w:rsid w:val="00644560"/>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6DC3"/>
    <w:rsid w:val="00670B47"/>
    <w:rsid w:val="00671B57"/>
    <w:rsid w:val="006753B2"/>
    <w:rsid w:val="006759D4"/>
    <w:rsid w:val="006759FD"/>
    <w:rsid w:val="00675EEA"/>
    <w:rsid w:val="006761C0"/>
    <w:rsid w:val="0067731B"/>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4DB7"/>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AE9"/>
    <w:rsid w:val="00720C8A"/>
    <w:rsid w:val="00721B24"/>
    <w:rsid w:val="00722D00"/>
    <w:rsid w:val="00722D3E"/>
    <w:rsid w:val="00723B33"/>
    <w:rsid w:val="00723B8B"/>
    <w:rsid w:val="00724307"/>
    <w:rsid w:val="007249C3"/>
    <w:rsid w:val="00724E29"/>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0E73"/>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642"/>
    <w:rsid w:val="00820FC9"/>
    <w:rsid w:val="00821246"/>
    <w:rsid w:val="0082192A"/>
    <w:rsid w:val="00822C21"/>
    <w:rsid w:val="0082387D"/>
    <w:rsid w:val="00824971"/>
    <w:rsid w:val="00824B3E"/>
    <w:rsid w:val="00824C9C"/>
    <w:rsid w:val="00825EFC"/>
    <w:rsid w:val="00827B95"/>
    <w:rsid w:val="00830984"/>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3B1"/>
    <w:rsid w:val="008F187D"/>
    <w:rsid w:val="008F1CBE"/>
    <w:rsid w:val="008F2DE4"/>
    <w:rsid w:val="008F3877"/>
    <w:rsid w:val="008F43C6"/>
    <w:rsid w:val="008F5038"/>
    <w:rsid w:val="008F5322"/>
    <w:rsid w:val="008F5558"/>
    <w:rsid w:val="008F686C"/>
    <w:rsid w:val="008F703F"/>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640"/>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E4DD7"/>
    <w:rsid w:val="009F09A7"/>
    <w:rsid w:val="009F22C4"/>
    <w:rsid w:val="009F2EA4"/>
    <w:rsid w:val="009F30A9"/>
    <w:rsid w:val="009F4258"/>
    <w:rsid w:val="009F701B"/>
    <w:rsid w:val="009F7360"/>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30A3"/>
    <w:rsid w:val="00BE3B24"/>
    <w:rsid w:val="00BE3D5A"/>
    <w:rsid w:val="00BE466B"/>
    <w:rsid w:val="00BE4750"/>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C1C"/>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07C"/>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5F32"/>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3B34"/>
    <w:rsid w:val="00D957B8"/>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E7C36"/>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564A"/>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6FFB"/>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09B5"/>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17"/>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899"/>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paragraph" w:customStyle="1" w:styleId="PatBodyText">
    <w:name w:val="PatBodyText"/>
    <w:aliases w:val="pb"/>
    <w:basedOn w:val="Heading1"/>
    <w:autoRedefine/>
    <w:rsid w:val="004A1BA3"/>
    <w:pPr>
      <w:keepNext w:val="0"/>
      <w:keepLines w:val="0"/>
      <w:widowControl w:val="0"/>
      <w:pBdr>
        <w:top w:val="none" w:sz="0" w:space="0" w:color="auto"/>
      </w:pBdr>
      <w:topLinePunct/>
      <w:adjustRightInd w:val="0"/>
      <w:snapToGrid w:val="0"/>
      <w:spacing w:before="0" w:after="0" w:line="360" w:lineRule="auto"/>
      <w:ind w:left="400" w:firstLine="0"/>
      <w:jc w:val="both"/>
      <w:outlineLvl w:val="9"/>
    </w:pPr>
    <w:rPr>
      <w:rFonts w:ascii="Times New Roman" w:eastAsia="SimSun" w:hAnsi="Times New Roman"/>
      <w:snapToGrid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8170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2022-07-25T19:39:00Z</dcterms:created>
  <dcterms:modified xsi:type="dcterms:W3CDTF">2022-08-08T18:51:00Z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